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3B5AF" w14:textId="77777777" w:rsidR="008F5E7E" w:rsidRDefault="008F5E7E">
      <w:pPr>
        <w:autoSpaceDE w:val="0"/>
        <w:autoSpaceDN w:val="0"/>
        <w:adjustRightInd w:val="0"/>
        <w:jc w:val="center"/>
        <w:rPr>
          <w:rFonts w:ascii="Times New Roman" w:eastAsia="方正小标宋简体" w:hAnsi="Times New Roman" w:cs="方正小标宋简体" w:hint="eastAsia"/>
          <w:kern w:val="0"/>
          <w:sz w:val="48"/>
          <w:szCs w:val="48"/>
          <w:lang w:val="zh-CN"/>
        </w:rPr>
      </w:pPr>
    </w:p>
    <w:p w14:paraId="62D19A94"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3FD7BB30"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70531693"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7BAB751A"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6E45C5DC"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64C1BBFF"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4C57A286" w14:textId="77777777" w:rsidR="008F5E7E" w:rsidRDefault="008F5E7E">
      <w:pPr>
        <w:autoSpaceDE w:val="0"/>
        <w:autoSpaceDN w:val="0"/>
        <w:adjustRightInd w:val="0"/>
        <w:jc w:val="center"/>
        <w:rPr>
          <w:rFonts w:ascii="Times New Roman" w:eastAsia="方正小标宋简体" w:hAnsi="Times New Roman" w:cs="方正小标宋简体"/>
          <w:kern w:val="0"/>
          <w:sz w:val="48"/>
          <w:szCs w:val="48"/>
          <w:lang w:val="zh-CN"/>
        </w:rPr>
      </w:pPr>
    </w:p>
    <w:p w14:paraId="184EBAC2" w14:textId="77777777" w:rsidR="008F5E7E" w:rsidRDefault="00DB57E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中共天津市</w:t>
      </w:r>
      <w:proofErr w:type="gramStart"/>
      <w:r>
        <w:rPr>
          <w:rFonts w:ascii="Times New Roman" w:eastAsia="方正小标宋简体" w:hAnsi="Times New Roman" w:cs="方正小标宋简体" w:hint="eastAsia"/>
          <w:kern w:val="0"/>
          <w:sz w:val="48"/>
          <w:szCs w:val="48"/>
          <w:lang w:val="zh-CN"/>
        </w:rPr>
        <w:t>委网络</w:t>
      </w:r>
      <w:proofErr w:type="gramEnd"/>
      <w:r>
        <w:rPr>
          <w:rFonts w:ascii="Times New Roman" w:eastAsia="方正小标宋简体" w:hAnsi="Times New Roman" w:cs="方正小标宋简体" w:hint="eastAsia"/>
          <w:kern w:val="0"/>
          <w:sz w:val="48"/>
          <w:szCs w:val="48"/>
          <w:lang w:val="zh-CN"/>
        </w:rPr>
        <w:t>安全和信息化委员会</w:t>
      </w:r>
    </w:p>
    <w:p w14:paraId="08351B47" w14:textId="77777777" w:rsidR="008F5E7E" w:rsidRDefault="00DB57E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办公室（本级）</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68BF3C59" w14:textId="77777777" w:rsidR="008F5E7E" w:rsidRDefault="008F5E7E">
      <w:pPr>
        <w:autoSpaceDE w:val="0"/>
        <w:autoSpaceDN w:val="0"/>
        <w:adjustRightInd w:val="0"/>
        <w:spacing w:line="580" w:lineRule="exact"/>
        <w:jc w:val="center"/>
        <w:rPr>
          <w:rFonts w:ascii="Times New Roman" w:eastAsia="黑体" w:hAnsi="Times New Roman" w:cs="黑体"/>
          <w:sz w:val="30"/>
          <w:szCs w:val="30"/>
        </w:rPr>
      </w:pPr>
    </w:p>
    <w:p w14:paraId="38ED3BF5" w14:textId="77777777" w:rsidR="008F5E7E" w:rsidRDefault="008F5E7E">
      <w:pPr>
        <w:autoSpaceDE w:val="0"/>
        <w:autoSpaceDN w:val="0"/>
        <w:adjustRightInd w:val="0"/>
        <w:spacing w:line="580" w:lineRule="exact"/>
        <w:jc w:val="center"/>
        <w:rPr>
          <w:rFonts w:ascii="Times New Roman" w:eastAsia="黑体" w:hAnsi="Times New Roman" w:cs="黑体"/>
          <w:sz w:val="30"/>
          <w:szCs w:val="30"/>
        </w:rPr>
      </w:pPr>
    </w:p>
    <w:p w14:paraId="6E1A8B16" w14:textId="77777777" w:rsidR="008F5E7E" w:rsidRDefault="008F5E7E">
      <w:pPr>
        <w:autoSpaceDE w:val="0"/>
        <w:autoSpaceDN w:val="0"/>
        <w:adjustRightInd w:val="0"/>
        <w:spacing w:line="580" w:lineRule="exact"/>
        <w:jc w:val="center"/>
        <w:rPr>
          <w:rFonts w:ascii="Times New Roman" w:eastAsia="黑体" w:hAnsi="Times New Roman" w:cs="黑体"/>
          <w:sz w:val="30"/>
          <w:szCs w:val="30"/>
        </w:rPr>
      </w:pPr>
    </w:p>
    <w:p w14:paraId="37AE7D86" w14:textId="77777777" w:rsidR="008F5E7E" w:rsidRDefault="008F5E7E">
      <w:pPr>
        <w:autoSpaceDE w:val="0"/>
        <w:autoSpaceDN w:val="0"/>
        <w:adjustRightInd w:val="0"/>
        <w:spacing w:line="580" w:lineRule="exact"/>
        <w:jc w:val="center"/>
        <w:rPr>
          <w:rFonts w:ascii="Times New Roman" w:eastAsia="黑体" w:hAnsi="Times New Roman" w:cs="黑体"/>
          <w:sz w:val="30"/>
          <w:szCs w:val="30"/>
        </w:rPr>
      </w:pPr>
    </w:p>
    <w:p w14:paraId="3B5CEC85" w14:textId="77777777" w:rsidR="008F5E7E" w:rsidRDefault="008F5E7E">
      <w:pPr>
        <w:autoSpaceDE w:val="0"/>
        <w:autoSpaceDN w:val="0"/>
        <w:adjustRightInd w:val="0"/>
        <w:spacing w:line="580" w:lineRule="exact"/>
        <w:jc w:val="center"/>
        <w:rPr>
          <w:rFonts w:ascii="Times New Roman" w:eastAsia="黑体" w:hAnsi="Times New Roman" w:cs="黑体"/>
          <w:sz w:val="30"/>
          <w:szCs w:val="30"/>
        </w:rPr>
      </w:pPr>
    </w:p>
    <w:p w14:paraId="40FA0EC0" w14:textId="77777777" w:rsidR="008F5E7E" w:rsidRDefault="00DB57E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2676720F" w14:textId="77777777" w:rsidR="008F5E7E" w:rsidRDefault="00DB57E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5497BEA7" w14:textId="77777777" w:rsidR="008F5E7E" w:rsidRDefault="008F5E7E">
      <w:pPr>
        <w:autoSpaceDE w:val="0"/>
        <w:autoSpaceDN w:val="0"/>
        <w:adjustRightInd w:val="0"/>
        <w:spacing w:line="600" w:lineRule="exact"/>
        <w:jc w:val="left"/>
        <w:rPr>
          <w:rFonts w:ascii="Times New Roman" w:eastAsia="黑体" w:hAnsi="Times New Roman" w:cs="黑体"/>
          <w:kern w:val="0"/>
          <w:sz w:val="30"/>
          <w:szCs w:val="30"/>
        </w:rPr>
      </w:pPr>
    </w:p>
    <w:p w14:paraId="0CE70AE9" w14:textId="77777777" w:rsidR="008F5E7E" w:rsidRDefault="00DB57E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7E173755"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47B2538B"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5B18360F" w14:textId="77777777" w:rsidR="008F5E7E" w:rsidRDefault="00DB57E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0EE90658"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32749EC4"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31FBDE7A"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008E5B59"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7DBEDC91"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0D071E15"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2667C7BB"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13E5F78D"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6685ABE3"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7ECD68FF"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335D72F5"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497D0780"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650C4993" w14:textId="77777777" w:rsidR="008F5E7E" w:rsidRDefault="00DB57E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4D18BD40"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3EA4B3AE"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38EBB567"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31E65822"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000AEEE7"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29ADE382"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741ECB3D"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1D777318"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0DF05335"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7CC5E6E2"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6E0C5E87"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74052D19"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52EAFCC2"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0C137ACE" w14:textId="77777777" w:rsidR="008F5E7E" w:rsidRDefault="00DB57E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5D449647" w14:textId="77777777" w:rsidR="008F5E7E" w:rsidRDefault="00DB57E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6A17C5EF" w14:textId="77777777" w:rsidR="008F5E7E" w:rsidRDefault="00DB57E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6CE078B2" w14:textId="77777777" w:rsidR="008F5E7E" w:rsidRDefault="00DB57E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3E67D722" w14:textId="77777777" w:rsidR="00541456" w:rsidRDefault="00541456">
      <w:pPr>
        <w:keepNext/>
        <w:keepLines/>
        <w:autoSpaceDE w:val="0"/>
        <w:autoSpaceDN w:val="0"/>
        <w:adjustRightInd w:val="0"/>
        <w:spacing w:line="600" w:lineRule="exact"/>
        <w:ind w:firstLine="600"/>
        <w:outlineLvl w:val="1"/>
        <w:rPr>
          <w:rFonts w:ascii="Times New Roman" w:eastAsia="黑体" w:hAnsi="Times New Roman" w:cs="黑体" w:hint="eastAsia"/>
          <w:kern w:val="0"/>
          <w:sz w:val="30"/>
          <w:szCs w:val="30"/>
        </w:rPr>
      </w:pPr>
    </w:p>
    <w:p w14:paraId="5ADB8D30" w14:textId="77777777" w:rsidR="008F5E7E" w:rsidRDefault="00DB57E2">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232C69C5" w14:textId="77777777" w:rsidR="008F5E7E" w:rsidRDefault="00DB57E2">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我单位主要职责涉密，故未公开。</w:t>
      </w:r>
    </w:p>
    <w:p w14:paraId="2B15A76F" w14:textId="77777777" w:rsidR="008F5E7E" w:rsidRDefault="00DB57E2">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391A8D12" w14:textId="16B54A71" w:rsidR="008F5E7E" w:rsidRDefault="00DB57E2" w:rsidP="00263A77">
      <w:pPr>
        <w:autoSpaceDE w:val="0"/>
        <w:autoSpaceDN w:val="0"/>
        <w:adjustRightInd w:val="0"/>
        <w:spacing w:line="600" w:lineRule="exact"/>
        <w:ind w:firstLine="600"/>
        <w:rPr>
          <w:rFonts w:ascii="Times New Roman" w:eastAsia="黑体" w:hAnsi="Times New Roman" w:cs="黑体"/>
          <w:sz w:val="30"/>
          <w:szCs w:val="30"/>
          <w:lang w:val="zh-CN"/>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安全和信息化委员会办公室（本级）内设</w:t>
      </w:r>
      <w:r>
        <w:rPr>
          <w:rFonts w:ascii="Times New Roman" w:eastAsia="仿宋_GB2312" w:hAnsi="Times New Roman" w:cs="仿宋_GB2312" w:hint="eastAsia"/>
          <w:sz w:val="30"/>
          <w:szCs w:val="30"/>
        </w:rPr>
        <w:t>17</w:t>
      </w:r>
      <w:r>
        <w:rPr>
          <w:rFonts w:ascii="Times New Roman" w:eastAsia="仿宋_GB2312" w:hAnsi="Times New Roman" w:cs="仿宋_GB2312" w:hint="eastAsia"/>
          <w:sz w:val="30"/>
          <w:szCs w:val="30"/>
        </w:rPr>
        <w:t>个职能处室；纳入中共天津市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w:t>
      </w:r>
      <w:r w:rsidR="0033204D">
        <w:rPr>
          <w:rFonts w:ascii="Times New Roman" w:eastAsia="仿宋_GB2312" w:hAnsi="Times New Roman" w:cs="仿宋_GB2312" w:hint="eastAsia"/>
          <w:sz w:val="30"/>
          <w:szCs w:val="30"/>
        </w:rPr>
        <w:t>1</w:t>
      </w:r>
      <w:r w:rsidR="0033204D">
        <w:rPr>
          <w:rFonts w:ascii="Times New Roman" w:eastAsia="仿宋_GB2312" w:hAnsi="Times New Roman" w:cs="仿宋_GB2312" w:hint="eastAsia"/>
          <w:sz w:val="30"/>
          <w:szCs w:val="30"/>
        </w:rPr>
        <w:t>个</w:t>
      </w: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bookmarkStart w:id="0" w:name="_GoBack"/>
      <w:bookmarkEnd w:id="0"/>
      <w:r>
        <w:rPr>
          <w:rFonts w:ascii="Times New Roman" w:eastAsia="仿宋_GB2312" w:hAnsi="Times New Roman" w:cs="仿宋_GB2312" w:hint="eastAsia"/>
          <w:sz w:val="30"/>
          <w:szCs w:val="30"/>
        </w:rPr>
        <w:t>。</w:t>
      </w:r>
      <w:r>
        <w:rPr>
          <w:rFonts w:ascii="Times New Roman" w:eastAsia="黑体" w:hAnsi="Times New Roman" w:cs="黑体"/>
          <w:sz w:val="30"/>
          <w:szCs w:val="30"/>
          <w:lang w:val="zh-CN"/>
        </w:rPr>
        <w:br w:type="page"/>
      </w:r>
    </w:p>
    <w:p w14:paraId="49085A12" w14:textId="77777777" w:rsidR="008F5E7E" w:rsidRDefault="00DB57E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1645A788" w14:textId="77777777" w:rsidR="008F5E7E" w:rsidRDefault="008F5E7E">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1053ACBE"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6820B8B4"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79F597AF"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876360D"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203CB4F4"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2D484E59"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7583D78E"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724CBC3F"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4EBF625E"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17C1AFFC"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5B57A11F" w14:textId="77777777" w:rsidR="008F5E7E" w:rsidRDefault="00DB57E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053524A1" w14:textId="77777777" w:rsidR="008F5E7E" w:rsidRDefault="00DB57E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41CA63B5" w14:textId="77777777" w:rsidR="008F5E7E" w:rsidRDefault="00DB57E2">
      <w:pPr>
        <w:autoSpaceDE w:val="0"/>
        <w:autoSpaceDN w:val="0"/>
        <w:adjustRightInd w:val="0"/>
        <w:spacing w:line="600" w:lineRule="exact"/>
        <w:rPr>
          <w:rFonts w:ascii="Times New Roman" w:eastAsia="黑体" w:hAnsi="Times New Roman" w:cs="黑体"/>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14:paraId="54F1CB4D" w14:textId="77777777" w:rsidR="008F5E7E" w:rsidRDefault="00DB57E2">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3988F76B" w14:textId="77777777" w:rsidR="008F5E7E" w:rsidRDefault="00DB57E2">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14:paraId="1E41A46B" w14:textId="77777777" w:rsidR="008F5E7E" w:rsidRDefault="008F5E7E">
      <w:pPr>
        <w:autoSpaceDE w:val="0"/>
        <w:autoSpaceDN w:val="0"/>
        <w:adjustRightInd w:val="0"/>
        <w:spacing w:line="600" w:lineRule="exact"/>
        <w:ind w:firstLine="601"/>
        <w:jc w:val="left"/>
        <w:rPr>
          <w:rFonts w:ascii="Times New Roman" w:eastAsia="仿宋_GB2312" w:hAnsi="Times New Roman" w:cs="仿宋_GB2312"/>
          <w:sz w:val="30"/>
          <w:szCs w:val="30"/>
        </w:rPr>
      </w:pPr>
    </w:p>
    <w:p w14:paraId="6F10A963" w14:textId="77777777" w:rsidR="008F5E7E" w:rsidRDefault="00DB57E2">
      <w:pPr>
        <w:keepNext/>
        <w:keepLines/>
        <w:autoSpaceDE w:val="0"/>
        <w:autoSpaceDN w:val="0"/>
        <w:adjustRightInd w:val="0"/>
        <w:spacing w:line="600" w:lineRule="exact"/>
        <w:ind w:firstLine="600"/>
        <w:jc w:val="center"/>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7AFEF75E" w14:textId="77777777" w:rsidR="008F5E7E" w:rsidRDefault="008F5E7E">
      <w:pPr>
        <w:autoSpaceDE w:val="0"/>
        <w:autoSpaceDN w:val="0"/>
        <w:adjustRightInd w:val="0"/>
        <w:spacing w:line="580" w:lineRule="exact"/>
        <w:ind w:firstLine="600"/>
        <w:jc w:val="left"/>
        <w:rPr>
          <w:rFonts w:ascii="Times New Roman" w:eastAsia="黑体" w:hAnsi="Times New Roman" w:cs="黑体"/>
          <w:sz w:val="30"/>
          <w:szCs w:val="30"/>
          <w:lang w:val="zh-CN"/>
        </w:rPr>
      </w:pPr>
    </w:p>
    <w:p w14:paraId="7F9C90AD"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2D8BA106" w14:textId="77777777" w:rsidR="008F5E7E" w:rsidRDefault="00DB57E2">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中共天津市</w:t>
      </w:r>
      <w:proofErr w:type="gramStart"/>
      <w:r>
        <w:rPr>
          <w:rFonts w:ascii="Times New Roman" w:eastAsia="仿宋_GB2312" w:hAnsi="Times New Roman" w:cs="仿宋_GB2312" w:hint="eastAsia"/>
          <w:sz w:val="30"/>
          <w:szCs w:val="30"/>
          <w:lang w:val="zh-CN"/>
        </w:rPr>
        <w:t>委网络</w:t>
      </w:r>
      <w:proofErr w:type="gramEnd"/>
      <w:r>
        <w:rPr>
          <w:rFonts w:ascii="Times New Roman" w:eastAsia="仿宋_GB2312" w:hAnsi="Times New Roman" w:cs="仿宋_GB2312" w:hint="eastAsia"/>
          <w:sz w:val="30"/>
          <w:szCs w:val="30"/>
          <w:lang w:val="zh-CN"/>
        </w:rPr>
        <w:t>安全和信息化委员会办公室（本级）</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177,743,143.32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35,228,572.65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24.72%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：本年度项目收入、支出均增加。</w:t>
      </w:r>
    </w:p>
    <w:p w14:paraId="6CE79CB1"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4ABC3FF6"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174,611,111.13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34,441,070.26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：本年度项目收入增加。</w:t>
      </w:r>
    </w:p>
    <w:p w14:paraId="19DD8902" w14:textId="77777777" w:rsidR="008F5E7E" w:rsidRDefault="00DB57E2">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172,878,740.00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99.01</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18354C3D" w14:textId="77777777" w:rsidR="008F5E7E" w:rsidRDefault="00DB57E2">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1,732,371.13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0.99%</w:t>
      </w:r>
      <w:r>
        <w:rPr>
          <w:rFonts w:ascii="Times New Roman" w:eastAsia="仿宋_GB2312" w:hAnsi="Times New Roman" w:cs="仿宋_GB2312" w:hint="eastAsia"/>
          <w:sz w:val="30"/>
          <w:szCs w:val="30"/>
          <w:lang w:val="zh-CN"/>
        </w:rPr>
        <w:t>。</w:t>
      </w:r>
    </w:p>
    <w:p w14:paraId="1B7AE6B1"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5C80B99E" w14:textId="77777777" w:rsidR="008F5E7E" w:rsidRDefault="00DB57E2">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w:t>
      </w:r>
      <w:r>
        <w:rPr>
          <w:rFonts w:ascii="Times New Roman" w:eastAsia="仿宋_GB2312" w:hAnsi="Times New Roman" w:cs="仿宋_GB2312" w:hint="eastAsia"/>
          <w:sz w:val="30"/>
          <w:szCs w:val="30"/>
        </w:rPr>
        <w:lastRenderedPageBreak/>
        <w:t>度本年支出合计</w:t>
      </w:r>
      <w:r>
        <w:rPr>
          <w:rFonts w:ascii="Times New Roman" w:eastAsia="仿宋_GB2312" w:hAnsi="Times New Roman" w:cs="仿宋_GB2312" w:hint="eastAsia"/>
          <w:sz w:val="30"/>
          <w:szCs w:val="30"/>
        </w:rPr>
        <w:t>176,422,209.72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37,037,671.24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本年度项目支出增加。</w:t>
      </w:r>
    </w:p>
    <w:p w14:paraId="20C66FBF" w14:textId="77777777" w:rsidR="008F5E7E" w:rsidRDefault="00DB57E2">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27,392,409.49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15.53%</w:t>
      </w:r>
      <w:r>
        <w:rPr>
          <w:rFonts w:ascii="Times New Roman" w:eastAsia="仿宋_GB2312" w:hAnsi="Times New Roman" w:cs="仿宋_GB2312" w:hint="eastAsia"/>
          <w:sz w:val="30"/>
          <w:szCs w:val="30"/>
        </w:rPr>
        <w:t>；</w:t>
      </w:r>
    </w:p>
    <w:p w14:paraId="33C6C358" w14:textId="77777777" w:rsidR="008F5E7E" w:rsidRDefault="00DB57E2">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149,029,800.23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84.47%</w:t>
      </w:r>
      <w:r>
        <w:rPr>
          <w:rFonts w:ascii="Times New Roman" w:eastAsia="仿宋_GB2312" w:hAnsi="Times New Roman" w:cs="仿宋_GB2312" w:hint="eastAsia"/>
          <w:sz w:val="30"/>
          <w:szCs w:val="30"/>
        </w:rPr>
        <w:t>；</w:t>
      </w:r>
    </w:p>
    <w:p w14:paraId="474B32EA"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28AACF1E" w14:textId="77777777" w:rsidR="008F5E7E" w:rsidRDefault="00DB57E2">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174,106,564.80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33,506,601.52</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23.83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本年度财政拨款项目收入、支出均增加。</w:t>
      </w:r>
    </w:p>
    <w:p w14:paraId="2CFBB84D"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31F7E872" w14:textId="77777777" w:rsidR="008F5E7E" w:rsidRDefault="00DB57E2">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738C7123" w14:textId="77777777" w:rsidR="008F5E7E" w:rsidRDefault="00DB57E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173,948,888.67</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98.6%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34,574,750.19</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24.81%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：本年度一般公共预算财政拨款项目支出增加。</w:t>
      </w:r>
    </w:p>
    <w:p w14:paraId="4C864F74" w14:textId="77777777" w:rsidR="008F5E7E" w:rsidRDefault="00DB57E2">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3E5E82C3" w14:textId="77777777" w:rsidR="008F5E7E" w:rsidRDefault="00DB57E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173,948,888.67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107,224,906.49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61.64%</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2,808,000.00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1.62%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1,411,397.18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0.81%</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35.93%</w:t>
      </w:r>
      <w:r>
        <w:rPr>
          <w:rFonts w:ascii="Times New Roman" w:eastAsia="仿宋_GB2312" w:hAnsi="Times New Roman" w:cs="仿宋_GB2312" w:hint="eastAsia"/>
          <w:sz w:val="30"/>
          <w:szCs w:val="30"/>
        </w:rPr>
        <w:t>。</w:t>
      </w:r>
    </w:p>
    <w:p w14:paraId="10456BAA" w14:textId="77777777" w:rsidR="008F5E7E" w:rsidRDefault="00DB57E2">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（三）具体情况</w:t>
      </w:r>
    </w:p>
    <w:p w14:paraId="60B84B9C"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137,975,585.00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173,948,888.67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126.07%</w:t>
      </w:r>
      <w:r>
        <w:rPr>
          <w:rFonts w:ascii="Times New Roman" w:eastAsia="仿宋_GB2312" w:hAnsi="Times New Roman" w:cs="仿宋_GB2312" w:hint="eastAsia"/>
          <w:kern w:val="0"/>
          <w:sz w:val="30"/>
          <w:szCs w:val="30"/>
        </w:rPr>
        <w:t>。其中：</w:t>
      </w:r>
    </w:p>
    <w:p w14:paraId="48ABD81A"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（款）行政运行（项）年初预算为</w:t>
      </w:r>
      <w:r>
        <w:rPr>
          <w:rFonts w:ascii="Times New Roman" w:eastAsia="仿宋_GB2312" w:hAnsi="Times New Roman" w:cs="仿宋_GB2312" w:hint="eastAsia"/>
          <w:sz w:val="30"/>
          <w:szCs w:val="30"/>
        </w:rPr>
        <w:t>20,826,000.00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22,845,776.96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109.70%</w:t>
      </w:r>
      <w:r>
        <w:rPr>
          <w:rFonts w:ascii="Times New Roman" w:eastAsia="仿宋_GB2312" w:hAnsi="Times New Roman" w:cs="仿宋_GB2312" w:hint="eastAsia"/>
          <w:sz w:val="30"/>
          <w:szCs w:val="30"/>
        </w:rPr>
        <w:t>，决算数大于年初预算数的主要原因是单位人员增加，基本支出相应增加。</w:t>
      </w:r>
    </w:p>
    <w:p w14:paraId="5E453A7B"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2. </w:t>
      </w:r>
      <w:r>
        <w:rPr>
          <w:rFonts w:ascii="Times New Roman" w:eastAsia="仿宋_GB2312" w:hAnsi="Times New Roman" w:cs="仿宋_GB2312" w:hint="eastAsia"/>
          <w:sz w:val="30"/>
          <w:szCs w:val="30"/>
        </w:rPr>
        <w:t>一般公共服务支出（类）</w:t>
      </w:r>
      <w:proofErr w:type="gramStart"/>
      <w:r>
        <w:rPr>
          <w:rFonts w:ascii="Times New Roman" w:eastAsia="仿宋_GB2312" w:hAnsi="Times New Roman" w:cs="仿宋_GB2312" w:hint="eastAsia"/>
          <w:sz w:val="30"/>
          <w:szCs w:val="30"/>
        </w:rPr>
        <w:t>网信事务</w:t>
      </w:r>
      <w:proofErr w:type="gramEnd"/>
      <w:r>
        <w:rPr>
          <w:rFonts w:ascii="Times New Roman" w:eastAsia="仿宋_GB2312" w:hAnsi="Times New Roman" w:cs="仿宋_GB2312" w:hint="eastAsia"/>
          <w:sz w:val="30"/>
          <w:szCs w:val="30"/>
        </w:rPr>
        <w:t>（款）一般行政管理事务（项）年初预算为</w:t>
      </w:r>
      <w:r>
        <w:rPr>
          <w:rFonts w:ascii="Times New Roman" w:eastAsia="仿宋_GB2312" w:hAnsi="Times New Roman" w:cs="仿宋_GB2312" w:hint="eastAsia"/>
          <w:sz w:val="30"/>
          <w:szCs w:val="30"/>
        </w:rPr>
        <w:t>50,500,000.00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83,770,980.10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165.88%</w:t>
      </w:r>
      <w:r>
        <w:rPr>
          <w:rFonts w:ascii="Times New Roman" w:eastAsia="仿宋_GB2312" w:hAnsi="Times New Roman" w:cs="仿宋_GB2312" w:hint="eastAsia"/>
          <w:sz w:val="30"/>
          <w:szCs w:val="30"/>
        </w:rPr>
        <w:t>，决算数大于年初预算数的主要原因是单位项目支出增加。</w:t>
      </w:r>
    </w:p>
    <w:p w14:paraId="0220EBB8"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3. </w:t>
      </w:r>
      <w:r>
        <w:rPr>
          <w:rFonts w:ascii="Times New Roman" w:eastAsia="仿宋_GB2312" w:hAnsi="Times New Roman" w:cs="仿宋_GB2312" w:hint="eastAsia"/>
          <w:sz w:val="30"/>
          <w:szCs w:val="30"/>
        </w:rPr>
        <w:t>一般公共服务支出（类）党委办公厅（室）及相关机构事务（款）其他党委办公厅（室）及相关机构事务支出（项）年初预算为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605,649.43</w:t>
      </w:r>
      <w:r>
        <w:rPr>
          <w:rFonts w:ascii="Times New Roman" w:eastAsia="仿宋_GB2312" w:hAnsi="Times New Roman" w:cs="仿宋_GB2312" w:hint="eastAsia"/>
          <w:sz w:val="30"/>
          <w:szCs w:val="30"/>
        </w:rPr>
        <w:t>元，决算数大于年初预算数的主要原因是使用项目实有账户年初结转资金支付该项目相关款项。</w:t>
      </w:r>
    </w:p>
    <w:p w14:paraId="516C480F"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4. </w:t>
      </w:r>
      <w:r>
        <w:rPr>
          <w:rFonts w:ascii="Times New Roman" w:eastAsia="仿宋_GB2312" w:hAnsi="Times New Roman" w:cs="仿宋_GB2312" w:hint="eastAsia"/>
          <w:sz w:val="30"/>
          <w:szCs w:val="30"/>
        </w:rPr>
        <w:t>一般公共服务支出（类）宣传事务（款）一般行政管理事务（项）年初预算为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2,500.00</w:t>
      </w:r>
      <w:r>
        <w:rPr>
          <w:rFonts w:ascii="Times New Roman" w:eastAsia="仿宋_GB2312" w:hAnsi="Times New Roman" w:cs="仿宋_GB2312" w:hint="eastAsia"/>
          <w:sz w:val="30"/>
          <w:szCs w:val="30"/>
        </w:rPr>
        <w:t>元，决算数大于年初预算数的主要原因是使用项目实有账户年初结转资金支付该项目相关款项。</w:t>
      </w:r>
    </w:p>
    <w:p w14:paraId="33073BCB"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5. </w:t>
      </w:r>
      <w:r>
        <w:rPr>
          <w:rFonts w:ascii="Times New Roman" w:eastAsia="仿宋_GB2312" w:hAnsi="Times New Roman" w:cs="仿宋_GB2312" w:hint="eastAsia"/>
          <w:sz w:val="30"/>
          <w:szCs w:val="30"/>
        </w:rPr>
        <w:t>社会保障和就业支出（类）行政事业单位养老支出（款）机</w:t>
      </w:r>
      <w:r>
        <w:rPr>
          <w:rFonts w:ascii="Times New Roman" w:eastAsia="仿宋_GB2312" w:hAnsi="Times New Roman" w:cs="仿宋_GB2312" w:hint="eastAsia"/>
          <w:sz w:val="30"/>
          <w:szCs w:val="30"/>
        </w:rPr>
        <w:lastRenderedPageBreak/>
        <w:t>关事业单位基本养老保险缴费支出（项）年初预算为</w:t>
      </w:r>
      <w:r>
        <w:rPr>
          <w:rFonts w:ascii="Times New Roman" w:eastAsia="仿宋_GB2312" w:hAnsi="Times New Roman" w:cs="仿宋_GB2312" w:hint="eastAsia"/>
          <w:sz w:val="30"/>
          <w:szCs w:val="30"/>
        </w:rPr>
        <w:t>1,817,000.00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1,874,000.00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103.14%</w:t>
      </w:r>
      <w:r>
        <w:rPr>
          <w:rFonts w:ascii="Times New Roman" w:eastAsia="仿宋_GB2312" w:hAnsi="Times New Roman" w:cs="仿宋_GB2312" w:hint="eastAsia"/>
          <w:sz w:val="30"/>
          <w:szCs w:val="30"/>
        </w:rPr>
        <w:t>，决算数大于年初预算数的主要原因是单位人员增加，社保支出相应增加。</w:t>
      </w:r>
    </w:p>
    <w:p w14:paraId="49FC605F"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6. </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909,000.00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934,000.00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102.75%</w:t>
      </w:r>
      <w:r>
        <w:rPr>
          <w:rFonts w:ascii="Times New Roman" w:eastAsia="仿宋_GB2312" w:hAnsi="Times New Roman" w:cs="仿宋_GB2312" w:hint="eastAsia"/>
          <w:sz w:val="30"/>
          <w:szCs w:val="30"/>
        </w:rPr>
        <w:t>，决算数大于年初预算数的主要原因是单位人员增加，社保支出相应增加。</w:t>
      </w:r>
    </w:p>
    <w:p w14:paraId="4D516D40"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7. </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1,192,000.00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1,176,434.16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98.69%</w:t>
      </w:r>
      <w:r>
        <w:rPr>
          <w:rFonts w:ascii="Times New Roman" w:eastAsia="仿宋_GB2312" w:hAnsi="Times New Roman" w:cs="仿宋_GB2312" w:hint="eastAsia"/>
          <w:sz w:val="30"/>
          <w:szCs w:val="30"/>
        </w:rPr>
        <w:t>，决算数小于年初预算数的主要原因是年中按天津市医疗保障局规定调整降低基本医疗保险缴费比例。</w:t>
      </w:r>
    </w:p>
    <w:p w14:paraId="171D3BC5" w14:textId="77777777" w:rsidR="008F5E7E" w:rsidRDefault="00DB57E2">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8. </w:t>
      </w:r>
      <w:r>
        <w:rPr>
          <w:rFonts w:ascii="Times New Roman" w:eastAsia="仿宋_GB2312" w:hAnsi="Times New Roman" w:cs="仿宋_GB2312" w:hint="eastAsia"/>
          <w:sz w:val="30"/>
          <w:szCs w:val="30"/>
        </w:rPr>
        <w:t>卫生健康支出（类）行政事业单位医疗（款）公务员医疗补助（项）年初预算为</w:t>
      </w:r>
      <w:r>
        <w:rPr>
          <w:rFonts w:ascii="Times New Roman" w:eastAsia="仿宋_GB2312" w:hAnsi="Times New Roman" w:cs="仿宋_GB2312" w:hint="eastAsia"/>
          <w:sz w:val="30"/>
          <w:szCs w:val="30"/>
        </w:rPr>
        <w:t>227,000.00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234,963.02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103.51%</w:t>
      </w:r>
      <w:r>
        <w:rPr>
          <w:rFonts w:ascii="Times New Roman" w:eastAsia="仿宋_GB2312" w:hAnsi="Times New Roman" w:cs="仿宋_GB2312" w:hint="eastAsia"/>
          <w:sz w:val="30"/>
          <w:szCs w:val="30"/>
        </w:rPr>
        <w:t>，决算数大于年初预算数的主要原因是单位人员增加，社保支出相应增加。</w:t>
      </w:r>
    </w:p>
    <w:p w14:paraId="1A648459" w14:textId="77777777" w:rsidR="008F5E7E" w:rsidRDefault="00DB57E2">
      <w:pPr>
        <w:autoSpaceDE w:val="0"/>
        <w:autoSpaceDN w:val="0"/>
        <w:adjustRightInd w:val="0"/>
        <w:spacing w:line="600" w:lineRule="exact"/>
        <w:ind w:firstLineChars="200" w:firstLine="600"/>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9. </w:t>
      </w:r>
      <w:r>
        <w:rPr>
          <w:rFonts w:ascii="Times New Roman" w:eastAsia="仿宋_GB2312" w:hAnsi="Times New Roman" w:cs="仿宋_GB2312" w:hint="eastAsia"/>
          <w:sz w:val="30"/>
          <w:szCs w:val="30"/>
        </w:rPr>
        <w:t>债务付息支出（类）地方政府一般债务付息支出（款）地方政府一般债券付息支出（项）年初预算为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62,504,585.00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，决算数等于年初预算数的主要原因是严格按照年初预算数支付地方政府一般债券付息支出。</w:t>
      </w:r>
    </w:p>
    <w:p w14:paraId="0427CC45"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六、一般公共预算财政拨款基本支出决算情况说明</w:t>
      </w:r>
    </w:p>
    <w:p w14:paraId="374CDE0C" w14:textId="77777777" w:rsidR="008F5E7E" w:rsidRDefault="00DB57E2">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27,065,174.14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1,359,259.59</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单位人员增加，基本支出相应增加。</w:t>
      </w:r>
      <w:r>
        <w:rPr>
          <w:rFonts w:ascii="Times New Roman" w:eastAsia="仿宋_GB2312" w:hAnsi="Times New Roman" w:cs="仿宋_GB2312" w:hint="eastAsia"/>
          <w:kern w:val="0"/>
          <w:sz w:val="30"/>
          <w:szCs w:val="30"/>
        </w:rPr>
        <w:t>其中：</w:t>
      </w:r>
    </w:p>
    <w:p w14:paraId="6C34EE96" w14:textId="77777777" w:rsidR="008F5E7E" w:rsidRDefault="00DB57E2">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24,751,816.60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基本工资、津贴补贴、奖金、机关事业单位基本养老保险缴费、职业年金缴费、职工基本医疗保险缴费、公务员医疗补助缴费、其他社会保障缴费、住房公积金、其他工资福利支出、退休费、奖励金。</w:t>
      </w:r>
    </w:p>
    <w:p w14:paraId="5B80431C" w14:textId="77777777" w:rsidR="008F5E7E" w:rsidRDefault="00DB57E2">
      <w:pPr>
        <w:autoSpaceDE w:val="0"/>
        <w:autoSpaceDN w:val="0"/>
        <w:adjustRightInd w:val="0"/>
        <w:spacing w:line="600" w:lineRule="exact"/>
        <w:ind w:firstLine="720"/>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2,313,357.54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办公费、印刷费、手续费、邮电费、差旅费、培训费、公务接待费、劳务费、工会经费、福利费、公务用车运行维护费、其他交通费用、其他商品和服务支出。</w:t>
      </w:r>
    </w:p>
    <w:p w14:paraId="3B6CF6CE"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591F5137" w14:textId="77777777" w:rsidR="008F5E7E" w:rsidRDefault="00DB57E2">
      <w:pPr>
        <w:autoSpaceDE w:val="0"/>
        <w:autoSpaceDN w:val="0"/>
        <w:adjustRightInd w:val="0"/>
        <w:spacing w:line="600" w:lineRule="exact"/>
        <w:ind w:firstLine="600"/>
        <w:rPr>
          <w:rFonts w:ascii="Times New Roman" w:eastAsia="楷体" w:hAnsi="Times New Roman" w:cs="楷体"/>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2CC6FEC4"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6A12A15E" w14:textId="77777777" w:rsidR="008F5E7E" w:rsidRDefault="00DB57E2">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1D6AC00F"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26D3C4E1" w14:textId="77777777" w:rsidR="008F5E7E" w:rsidRDefault="00DB57E2">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0ECAC883" w14:textId="77777777" w:rsidR="008F5E7E" w:rsidRDefault="00DB57E2">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lastRenderedPageBreak/>
        <w:t>37,200.00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67,800.00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35.43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20,700.00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35.75</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sz w:val="30"/>
          <w:szCs w:val="30"/>
        </w:rPr>
        <w:t>且较</w:t>
      </w:r>
      <w:r>
        <w:rPr>
          <w:rFonts w:ascii="Times New Roman" w:eastAsia="仿宋_GB2312" w:hAnsi="Times New Roman" w:cs="仿宋_GB2312" w:hint="eastAsia"/>
          <w:kern w:val="0"/>
          <w:sz w:val="30"/>
          <w:szCs w:val="30"/>
        </w:rPr>
        <w:t>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的主要原因是：合理安排三</w:t>
      </w:r>
      <w:proofErr w:type="gramStart"/>
      <w:r>
        <w:rPr>
          <w:rFonts w:ascii="Times New Roman" w:eastAsia="仿宋_GB2312" w:hAnsi="Times New Roman" w:cs="仿宋_GB2312" w:hint="eastAsia"/>
          <w:kern w:val="0"/>
          <w:sz w:val="30"/>
          <w:szCs w:val="30"/>
        </w:rPr>
        <w:t>公经费</w:t>
      </w:r>
      <w:proofErr w:type="gramEnd"/>
      <w:r>
        <w:rPr>
          <w:rFonts w:ascii="Times New Roman" w:eastAsia="仿宋_GB2312" w:hAnsi="Times New Roman" w:cs="仿宋_GB2312" w:hint="eastAsia"/>
          <w:kern w:val="0"/>
          <w:sz w:val="30"/>
          <w:szCs w:val="30"/>
        </w:rPr>
        <w:t>支出，严格按照预算执行，</w:t>
      </w:r>
      <w:r>
        <w:rPr>
          <w:rFonts w:ascii="Times New Roman" w:eastAsia="仿宋_GB2312" w:hAnsi="Times New Roman" w:cs="仿宋_GB2312" w:hint="eastAsia"/>
          <w:sz w:val="30"/>
          <w:szCs w:val="30"/>
        </w:rPr>
        <w:t>进一步压减“三公”经费支出。</w:t>
      </w:r>
    </w:p>
    <w:p w14:paraId="75BFBC2B" w14:textId="77777777" w:rsidR="008F5E7E" w:rsidRDefault="00DB57E2">
      <w:pPr>
        <w:autoSpaceDE w:val="0"/>
        <w:autoSpaceDN w:val="0"/>
        <w:adjustRightInd w:val="0"/>
        <w:spacing w:line="600" w:lineRule="exact"/>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1E71D032" w14:textId="77777777" w:rsidR="008F5E7E" w:rsidRDefault="00DB57E2">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50,000.00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44F46BFF" w14:textId="77777777" w:rsidR="008F5E7E" w:rsidRDefault="00DB57E2">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严格按预算执行，合理安排</w:t>
      </w:r>
      <w:r>
        <w:rPr>
          <w:rFonts w:ascii="Times New Roman" w:eastAsia="仿宋_GB2312" w:hAnsi="Times New Roman" w:cs="仿宋_GB2312" w:hint="eastAsia"/>
          <w:kern w:val="0"/>
          <w:sz w:val="30"/>
          <w:szCs w:val="30"/>
        </w:rPr>
        <w:t>公务用车运行维护费支出，</w:t>
      </w:r>
      <w:r>
        <w:rPr>
          <w:rFonts w:ascii="Times New Roman" w:eastAsia="仿宋_GB2312" w:hAnsi="Times New Roman" w:cs="仿宋_GB2312" w:hint="eastAsia"/>
          <w:sz w:val="30"/>
          <w:szCs w:val="30"/>
        </w:rPr>
        <w:t>进一步压减“公务用车运行维护费”经费支出。</w:t>
      </w:r>
      <w:r>
        <w:rPr>
          <w:rFonts w:ascii="Times New Roman" w:eastAsia="仿宋_GB2312" w:hAnsi="Times New Roman" w:cs="仿宋_GB2312" w:hint="eastAsia"/>
          <w:kern w:val="0"/>
          <w:sz w:val="30"/>
          <w:szCs w:val="30"/>
        </w:rPr>
        <w:t>其中：</w:t>
      </w:r>
    </w:p>
    <w:p w14:paraId="6070A692"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30,000.00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，完成预算的</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严格按预算执行，合理安排</w:t>
      </w:r>
      <w:r>
        <w:rPr>
          <w:rFonts w:ascii="Times New Roman" w:eastAsia="仿宋_GB2312" w:hAnsi="Times New Roman" w:cs="仿宋_GB2312" w:hint="eastAsia"/>
          <w:kern w:val="0"/>
          <w:sz w:val="30"/>
          <w:szCs w:val="30"/>
        </w:rPr>
        <w:t>公务用车运行维护费支出，</w:t>
      </w:r>
      <w:r>
        <w:rPr>
          <w:rFonts w:ascii="Times New Roman" w:eastAsia="仿宋_GB2312" w:hAnsi="Times New Roman" w:cs="仿宋_GB2312" w:hint="eastAsia"/>
          <w:sz w:val="30"/>
          <w:szCs w:val="30"/>
        </w:rPr>
        <w:t>进一步压减“公务用车运行维护费”经费支出。</w:t>
      </w:r>
    </w:p>
    <w:p w14:paraId="0598F702" w14:textId="77777777" w:rsidR="008F5E7E" w:rsidRDefault="00DB57E2">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w:t>
      </w:r>
      <w:r>
        <w:rPr>
          <w:rFonts w:ascii="Times New Roman" w:eastAsia="仿宋_GB2312" w:hAnsi="Times New Roman" w:cs="仿宋_GB2312" w:hint="eastAsia"/>
          <w:kern w:val="0"/>
          <w:sz w:val="30"/>
          <w:szCs w:val="30"/>
        </w:rPr>
        <w:lastRenderedPageBreak/>
        <w:t>车保有量为</w:t>
      </w:r>
      <w:r>
        <w:rPr>
          <w:rFonts w:ascii="Times New Roman" w:eastAsia="仿宋_GB2312" w:hAnsi="Times New Roman" w:cs="Times New Roman" w:hint="eastAsia"/>
          <w:kern w:val="0"/>
          <w:sz w:val="30"/>
          <w:szCs w:val="30"/>
        </w:rPr>
        <w:t>3</w:t>
      </w:r>
      <w:r>
        <w:rPr>
          <w:rFonts w:ascii="Times New Roman" w:eastAsia="仿宋_GB2312" w:hAnsi="Times New Roman" w:cs="仿宋_GB2312" w:hint="eastAsia"/>
          <w:kern w:val="0"/>
          <w:sz w:val="30"/>
          <w:szCs w:val="30"/>
        </w:rPr>
        <w:t>辆。</w:t>
      </w:r>
    </w:p>
    <w:p w14:paraId="1AFC4EE7"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预算数，且与上年数持平的主要原因是：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68F29E81" w14:textId="77777777" w:rsidR="008F5E7E" w:rsidRDefault="00DB57E2">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7,200.00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17,800.00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28.8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700.00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8.86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预算数，且较上年减少的主要原因是：</w:t>
      </w:r>
      <w:r>
        <w:rPr>
          <w:rFonts w:ascii="Times New Roman" w:eastAsia="仿宋_GB2312" w:hAnsi="Times New Roman" w:cs="仿宋_GB2312" w:hint="eastAsia"/>
          <w:sz w:val="30"/>
          <w:szCs w:val="30"/>
        </w:rPr>
        <w:t>进一步压减“公务接待费”经费支出。</w:t>
      </w:r>
    </w:p>
    <w:p w14:paraId="0615EC83" w14:textId="77777777" w:rsidR="008F5E7E" w:rsidRDefault="00DB57E2">
      <w:pPr>
        <w:autoSpaceDE w:val="0"/>
        <w:autoSpaceDN w:val="0"/>
        <w:adjustRightInd w:val="0"/>
        <w:spacing w:line="600" w:lineRule="exact"/>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8</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4EBC942C"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4799F1FB" w14:textId="77777777" w:rsidR="008F5E7E" w:rsidRDefault="00DB57E2">
      <w:pPr>
        <w:autoSpaceDE w:val="0"/>
        <w:autoSpaceDN w:val="0"/>
        <w:adjustRightInd w:val="0"/>
        <w:spacing w:line="58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中共天津市</w:t>
      </w:r>
      <w:proofErr w:type="gramStart"/>
      <w:r>
        <w:rPr>
          <w:rFonts w:ascii="Times New Roman" w:eastAsia="仿宋_GB2312" w:hAnsi="Times New Roman" w:cs="Times New Roman" w:hint="eastAsia"/>
          <w:kern w:val="0"/>
          <w:sz w:val="30"/>
          <w:szCs w:val="30"/>
        </w:rPr>
        <w:t>委网络</w:t>
      </w:r>
      <w:proofErr w:type="gramEnd"/>
      <w:r>
        <w:rPr>
          <w:rFonts w:ascii="Times New Roman" w:eastAsia="仿宋_GB2312" w:hAnsi="Times New Roman" w:cs="Times New Roman" w:hint="eastAsia"/>
          <w:kern w:val="0"/>
          <w:sz w:val="30"/>
          <w:szCs w:val="30"/>
        </w:rPr>
        <w:t>安全和信息化委员会办公室（本级）</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2,313,357.54</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1,219,025.69</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34.51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进一步压减机关运行经费支出。</w:t>
      </w:r>
    </w:p>
    <w:p w14:paraId="1FBE887A"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0EF4FBBC"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中共天津市</w:t>
      </w:r>
      <w:proofErr w:type="gramStart"/>
      <w:r>
        <w:rPr>
          <w:rFonts w:ascii="Times New Roman" w:eastAsia="仿宋_GB2312" w:hAnsi="Times New Roman" w:cs="仿宋_GB2312" w:hint="eastAsia"/>
          <w:color w:val="000000"/>
          <w:kern w:val="0"/>
          <w:sz w:val="30"/>
          <w:szCs w:val="30"/>
        </w:rPr>
        <w:t>委网络</w:t>
      </w:r>
      <w:proofErr w:type="gramEnd"/>
      <w:r>
        <w:rPr>
          <w:rFonts w:ascii="Times New Roman" w:eastAsia="仿宋_GB2312" w:hAnsi="Times New Roman" w:cs="仿宋_GB2312" w:hint="eastAsia"/>
          <w:color w:val="000000"/>
          <w:kern w:val="0"/>
          <w:sz w:val="30"/>
          <w:szCs w:val="30"/>
        </w:rPr>
        <w:t>安全和信息化委员会办公室（本级）</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40,976,680.44</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47,357.00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lastRenderedPageBreak/>
        <w:t>40,929,323.44</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32,612,680.44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79.59%</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28,542,680.44</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69.66%</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79.56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57F613F4"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0B6419F2" w14:textId="77777777" w:rsidR="008F5E7E" w:rsidRDefault="00DB57E2">
      <w:pPr>
        <w:autoSpaceDE w:val="0"/>
        <w:autoSpaceDN w:val="0"/>
        <w:adjustRightInd w:val="0"/>
        <w:spacing w:line="600" w:lineRule="exact"/>
        <w:ind w:firstLine="720"/>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日，中共天津市</w:t>
      </w:r>
      <w:proofErr w:type="gramStart"/>
      <w:r>
        <w:rPr>
          <w:rFonts w:ascii="Times New Roman" w:eastAsia="仿宋_GB2312" w:hAnsi="Times New Roman" w:cs="仿宋_GB2312" w:hint="eastAsia"/>
          <w:color w:val="000000"/>
          <w:kern w:val="0"/>
          <w:sz w:val="30"/>
          <w:szCs w:val="30"/>
        </w:rPr>
        <w:t>委网络</w:t>
      </w:r>
      <w:proofErr w:type="gramEnd"/>
      <w:r>
        <w:rPr>
          <w:rFonts w:ascii="Times New Roman" w:eastAsia="仿宋_GB2312" w:hAnsi="Times New Roman" w:cs="仿宋_GB2312" w:hint="eastAsia"/>
          <w:color w:val="000000"/>
          <w:kern w:val="0"/>
          <w:sz w:val="30"/>
          <w:szCs w:val="30"/>
        </w:rPr>
        <w:t>安全和信息化委员会办公室（本级）</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台（套）。</w:t>
      </w:r>
    </w:p>
    <w:p w14:paraId="070E7776"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3DBB5A7D"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23</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147,789,225.50</w:t>
      </w:r>
      <w:r>
        <w:rPr>
          <w:rFonts w:ascii="Times New Roman" w:eastAsia="仿宋_GB2312" w:hAnsi="Times New Roman" w:cs="仿宋_GB2312" w:hint="eastAsia"/>
          <w:sz w:val="30"/>
          <w:szCs w:val="30"/>
        </w:rPr>
        <w:t>元，自评结果已随部门决算一并公开。</w:t>
      </w:r>
    </w:p>
    <w:p w14:paraId="5A44931F" w14:textId="77777777" w:rsidR="008F5E7E" w:rsidRDefault="00DB57E2">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0974111F" w14:textId="77777777" w:rsidR="008F5E7E" w:rsidRDefault="00DB57E2">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中共天津市</w:t>
      </w:r>
      <w:proofErr w:type="gramStart"/>
      <w:r>
        <w:rPr>
          <w:rFonts w:ascii="Times New Roman" w:eastAsia="仿宋_GB2312" w:hAnsi="Times New Roman" w:cs="仿宋_GB2312" w:hint="eastAsia"/>
          <w:sz w:val="30"/>
          <w:szCs w:val="30"/>
        </w:rPr>
        <w:t>委网络</w:t>
      </w:r>
      <w:proofErr w:type="gramEnd"/>
      <w:r>
        <w:rPr>
          <w:rFonts w:ascii="Times New Roman" w:eastAsia="仿宋_GB2312" w:hAnsi="Times New Roman" w:cs="仿宋_GB2312" w:hint="eastAsia"/>
          <w:sz w:val="30"/>
          <w:szCs w:val="30"/>
        </w:rPr>
        <w:t>安全和信息化委员会办公室（本级）不属于乡、镇、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59D5B1BA" w14:textId="77777777" w:rsidR="008F5E7E" w:rsidRDefault="00DB57E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404B77F2" w14:textId="33000677" w:rsidR="008F5E7E" w:rsidRDefault="00DB57E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w:t>
      </w:r>
      <w:r w:rsidR="00B158D8">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名词解释</w:t>
      </w:r>
    </w:p>
    <w:p w14:paraId="499F9CA3" w14:textId="77777777" w:rsidR="008F5E7E" w:rsidRDefault="008F5E7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52550389" w14:textId="77777777" w:rsidR="008F5E7E" w:rsidRDefault="00DB57E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FDAB42D" w14:textId="77777777" w:rsidR="008F5E7E" w:rsidRDefault="00DB57E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EBEEEDC" w14:textId="77777777" w:rsidR="008F5E7E" w:rsidRDefault="00DB57E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8F5E7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E9361" w14:textId="77777777" w:rsidR="0084252A" w:rsidRDefault="0084252A" w:rsidP="00B158D8">
      <w:r>
        <w:separator/>
      </w:r>
    </w:p>
  </w:endnote>
  <w:endnote w:type="continuationSeparator" w:id="0">
    <w:p w14:paraId="7656AA32" w14:textId="77777777" w:rsidR="0084252A" w:rsidRDefault="0084252A" w:rsidP="00B1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F7FA8" w14:textId="77777777" w:rsidR="0084252A" w:rsidRDefault="0084252A" w:rsidP="00B158D8">
      <w:r>
        <w:separator/>
      </w:r>
    </w:p>
  </w:footnote>
  <w:footnote w:type="continuationSeparator" w:id="0">
    <w:p w14:paraId="536BB60C" w14:textId="77777777" w:rsidR="0084252A" w:rsidRDefault="0084252A" w:rsidP="00B15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NDcyOTAxZDM2NDM3NjYyMjA2MjE1MzdmNjY5Z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3A77"/>
    <w:rsid w:val="00264B59"/>
    <w:rsid w:val="002A4997"/>
    <w:rsid w:val="002E6086"/>
    <w:rsid w:val="00302490"/>
    <w:rsid w:val="003227B2"/>
    <w:rsid w:val="0033204D"/>
    <w:rsid w:val="0034050F"/>
    <w:rsid w:val="003536BE"/>
    <w:rsid w:val="003B25FB"/>
    <w:rsid w:val="003E6512"/>
    <w:rsid w:val="004A482F"/>
    <w:rsid w:val="004B1BC4"/>
    <w:rsid w:val="004F39BF"/>
    <w:rsid w:val="005062D7"/>
    <w:rsid w:val="005175E6"/>
    <w:rsid w:val="00525157"/>
    <w:rsid w:val="005349A2"/>
    <w:rsid w:val="00541456"/>
    <w:rsid w:val="00571B39"/>
    <w:rsid w:val="00575537"/>
    <w:rsid w:val="005D1367"/>
    <w:rsid w:val="005D3F56"/>
    <w:rsid w:val="00654D17"/>
    <w:rsid w:val="006623EC"/>
    <w:rsid w:val="006626A2"/>
    <w:rsid w:val="006A094D"/>
    <w:rsid w:val="006D2409"/>
    <w:rsid w:val="006E65DB"/>
    <w:rsid w:val="00776FF3"/>
    <w:rsid w:val="0078156E"/>
    <w:rsid w:val="00783DC7"/>
    <w:rsid w:val="00786E74"/>
    <w:rsid w:val="00797175"/>
    <w:rsid w:val="007B2784"/>
    <w:rsid w:val="007D1285"/>
    <w:rsid w:val="007E49E1"/>
    <w:rsid w:val="007F6DA7"/>
    <w:rsid w:val="008174D5"/>
    <w:rsid w:val="0084252A"/>
    <w:rsid w:val="00885126"/>
    <w:rsid w:val="0089698B"/>
    <w:rsid w:val="008D48A9"/>
    <w:rsid w:val="008F5E7E"/>
    <w:rsid w:val="00941A30"/>
    <w:rsid w:val="00977DCC"/>
    <w:rsid w:val="009820CF"/>
    <w:rsid w:val="00982A8B"/>
    <w:rsid w:val="009A7ED3"/>
    <w:rsid w:val="009D74D7"/>
    <w:rsid w:val="00A42E5D"/>
    <w:rsid w:val="00A57AE7"/>
    <w:rsid w:val="00A71024"/>
    <w:rsid w:val="00AF71AE"/>
    <w:rsid w:val="00B158D8"/>
    <w:rsid w:val="00B33C70"/>
    <w:rsid w:val="00B75228"/>
    <w:rsid w:val="00B811F1"/>
    <w:rsid w:val="00B81B9F"/>
    <w:rsid w:val="00BC763A"/>
    <w:rsid w:val="00BC7D6F"/>
    <w:rsid w:val="00BD3CAC"/>
    <w:rsid w:val="00BF697A"/>
    <w:rsid w:val="00C52E77"/>
    <w:rsid w:val="00C60C97"/>
    <w:rsid w:val="00C65A44"/>
    <w:rsid w:val="00C76AC3"/>
    <w:rsid w:val="00C83EB4"/>
    <w:rsid w:val="00D4505A"/>
    <w:rsid w:val="00D65B41"/>
    <w:rsid w:val="00DB57E2"/>
    <w:rsid w:val="00DC3234"/>
    <w:rsid w:val="00DC3CD0"/>
    <w:rsid w:val="00DD60B5"/>
    <w:rsid w:val="00DE731F"/>
    <w:rsid w:val="00E7602B"/>
    <w:rsid w:val="00E964B2"/>
    <w:rsid w:val="00EA6549"/>
    <w:rsid w:val="00EC6287"/>
    <w:rsid w:val="00F007FE"/>
    <w:rsid w:val="00F12657"/>
    <w:rsid w:val="00FF368A"/>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7F4C4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AC1B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883</Words>
  <Characters>5037</Characters>
  <Application>Microsoft Office Word</Application>
  <DocSecurity>0</DocSecurity>
  <Lines>41</Lines>
  <Paragraphs>11</Paragraphs>
  <ScaleCrop>false</ScaleCrop>
  <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中共天津市委网络安全和信息化委员会办公室</cp:lastModifiedBy>
  <cp:revision>19</cp:revision>
  <dcterms:created xsi:type="dcterms:W3CDTF">2024-08-22T07:47:00Z</dcterms:created>
  <dcterms:modified xsi:type="dcterms:W3CDTF">2024-08-28T01:06:00Z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